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8D1B3F">
        <w:rPr>
          <w:rStyle w:val="colornavy"/>
          <w:rFonts w:ascii="Times New Roman" w:hAnsi="Times New Roman"/>
          <w:sz w:val="24"/>
          <w:szCs w:val="24"/>
          <w:lang w:val="sr-Latn-RS"/>
        </w:rPr>
        <w:t>7</w:t>
      </w:r>
      <w:r w:rsidR="004616AE">
        <w:rPr>
          <w:rStyle w:val="colornavy"/>
          <w:rFonts w:ascii="Times New Roman" w:hAnsi="Times New Roman"/>
          <w:sz w:val="24"/>
          <w:szCs w:val="24"/>
          <w:lang w:val="sr-Latn-RS"/>
        </w:rPr>
        <w:t>2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>Предлог закона о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>изменама Закона о Уставном суду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8D1B3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</w:t>
      </w:r>
      <w:r w:rsidR="004616AE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</w:t>
      </w:r>
      <w:bookmarkStart w:id="0" w:name="_GoBack"/>
      <w:bookmarkEnd w:id="0"/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>изменама Закона о Уставном суду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D1B3F"/>
    <w:rsid w:val="008F5E88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F6F40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2023-01-26T09:55:00Z</dcterms:created>
  <dcterms:modified xsi:type="dcterms:W3CDTF">2023-01-26T09:55:00Z</dcterms:modified>
</cp:coreProperties>
</file>